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BDCA8"/>
    <w:p w14:paraId="192E4D66">
      <w:pPr>
        <w:shd w:val="clear" w:color="auto" w:fill="F6F6F6"/>
        <w:spacing w:after="240" w:line="240" w:lineRule="auto"/>
        <w:textAlignment w:val="baseline"/>
        <w:outlineLvl w:val="0"/>
        <w:rPr>
          <w:rFonts w:ascii="Arial" w:hAnsi="Arial" w:eastAsia="Times New Roman" w:cs="Arial"/>
          <w:color w:val="000000"/>
          <w:kern w:val="36"/>
          <w:sz w:val="43"/>
          <w:szCs w:val="43"/>
          <w:lang w:eastAsia="ru-RU"/>
          <w14:ligatures w14:val="none"/>
        </w:rPr>
      </w:pPr>
      <w:r>
        <w:rPr>
          <w:rFonts w:ascii="Arial" w:hAnsi="Arial" w:eastAsia="Times New Roman" w:cs="Arial"/>
          <w:color w:val="000000"/>
          <w:kern w:val="36"/>
          <w:sz w:val="43"/>
          <w:szCs w:val="43"/>
          <w:lang w:eastAsia="ru-RU"/>
          <w14:ligatures w14:val="none"/>
        </w:rPr>
        <w:t>Материально-техническое обеспечение и оснащенность образовательного процесса./ Белем бирү процессының матди-техник тәэмин ителеше һәм җиһазланышы</w:t>
      </w:r>
    </w:p>
    <w:p w14:paraId="205C0558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</w:pPr>
      <w:r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  <w:t>Материально-техническое обеспечение и оснащенность образовательного процесса</w:t>
      </w:r>
    </w:p>
    <w:p w14:paraId="0545B8CB">
      <w:pPr>
        <w:shd w:val="clear" w:color="auto" w:fill="F6F6F6"/>
        <w:spacing w:after="0" w:line="270" w:lineRule="atLeast"/>
        <w:jc w:val="center"/>
        <w:textAlignment w:val="baseline"/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</w:pPr>
      <w:r>
        <w:rPr>
          <w:rFonts w:ascii="Arial" w:hAnsi="Arial" w:eastAsia="Times New Roman" w:cs="Arial"/>
          <w:b/>
          <w:bCs/>
          <w:color w:val="000000"/>
          <w:kern w:val="0"/>
          <w:sz w:val="18"/>
          <w:szCs w:val="18"/>
          <w:lang w:eastAsia="ru-RU"/>
          <w14:ligatures w14:val="none"/>
        </w:rPr>
        <w:t>Материально-техническое обеспечение учебно-воспитательного процесса</w:t>
      </w:r>
    </w:p>
    <w:p w14:paraId="5ECF0395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</w:pPr>
      <w:r>
        <w:rPr>
          <w:rFonts w:ascii="Arial" w:hAnsi="Arial" w:eastAsia="Times New Roman" w:cs="Arial"/>
          <w:b/>
          <w:bCs/>
          <w:color w:val="000000"/>
          <w:kern w:val="0"/>
          <w:sz w:val="18"/>
          <w:szCs w:val="18"/>
          <w:lang w:eastAsia="ru-RU"/>
          <w14:ligatures w14:val="none"/>
        </w:rPr>
        <w:t>Перечень учебных кабинетов:</w:t>
      </w:r>
    </w:p>
    <w:p w14:paraId="46C9620A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</w:pPr>
      <w:r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  <w:t> </w:t>
      </w:r>
    </w:p>
    <w:tbl>
      <w:tblPr>
        <w:tblStyle w:val="12"/>
        <w:tblW w:w="0" w:type="dxa"/>
        <w:tblInd w:w="0" w:type="dxa"/>
        <w:shd w:val="clear" w:color="auto" w:fill="F6F6F6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0"/>
        <w:gridCol w:w="1988"/>
        <w:gridCol w:w="1309"/>
      </w:tblGrid>
      <w:tr w14:paraId="4C2BD056">
        <w:tblPrEx>
          <w:shd w:val="clear" w:color="auto" w:fill="F6F6F6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36C2FD97">
            <w:pPr>
              <w:spacing w:after="0" w:line="270" w:lineRule="atLeast"/>
              <w:textAlignment w:val="baseline"/>
              <w:rPr>
                <w:rFonts w:ascii="Arial" w:hAnsi="Arial" w:eastAsia="Times New Roman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7187492B">
            <w:pPr>
              <w:spacing w:after="0" w:line="270" w:lineRule="atLeast"/>
              <w:textAlignment w:val="baseline"/>
              <w:rPr>
                <w:rFonts w:ascii="Arial" w:hAnsi="Arial" w:eastAsia="Times New Roman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Название кабинета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6E0EE31D">
            <w:pPr>
              <w:spacing w:after="0" w:line="270" w:lineRule="atLeast"/>
              <w:textAlignment w:val="baseline"/>
              <w:rPr>
                <w:rFonts w:ascii="Arial" w:hAnsi="Arial" w:eastAsia="Times New Roman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Количество</w:t>
            </w:r>
          </w:p>
        </w:tc>
      </w:tr>
      <w:tr w14:paraId="3720FE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47E4565F">
            <w:pPr>
              <w:spacing w:after="0" w:line="270" w:lineRule="atLeast"/>
              <w:textAlignment w:val="baseline"/>
              <w:rPr>
                <w:rFonts w:ascii="Arial" w:hAnsi="Arial" w:eastAsia="Times New Roman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1DD26044">
            <w:pPr>
              <w:spacing w:after="0" w:line="270" w:lineRule="atLeast"/>
              <w:textAlignment w:val="baseline"/>
              <w:rPr>
                <w:rFonts w:ascii="Arial" w:hAnsi="Arial" w:eastAsia="Times New Roman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Начальных классов</w:t>
            </w:r>
            <w:r>
              <w:rPr>
                <w:rFonts w:ascii="Arial" w:hAnsi="Arial" w:eastAsia="Times New Roman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br w:type="textWrapping"/>
            </w:r>
            <w:r>
              <w:rPr>
                <w:rFonts w:ascii="Arial" w:hAnsi="Arial" w:eastAsia="Times New Roman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br w:type="textWrapping"/>
            </w:r>
            <w:r>
              <w:rPr>
                <w:rFonts w:ascii="Arial" w:hAnsi="Arial" w:eastAsia="Times New Roman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2AC3DDCE">
            <w:pPr>
              <w:spacing w:after="0" w:line="270" w:lineRule="atLeast"/>
              <w:textAlignment w:val="baseline"/>
              <w:rPr>
                <w:rFonts w:ascii="Arial" w:hAnsi="Arial" w:eastAsia="Times New Roman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hint="default" w:ascii="Arial" w:hAnsi="Arial" w:eastAsia="Times New Roman" w:cs="Ari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1</w:t>
            </w:r>
            <w:r>
              <w:rPr>
                <w:rFonts w:ascii="Arial" w:hAnsi="Arial" w:eastAsia="Times New Roman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br w:type="textWrapping"/>
            </w:r>
            <w:r>
              <w:rPr>
                <w:rFonts w:ascii="Arial" w:hAnsi="Arial" w:eastAsia="Times New Roman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br w:type="textWrapping"/>
            </w:r>
            <w:r>
              <w:rPr>
                <w:rFonts w:ascii="Arial" w:hAnsi="Arial" w:eastAsia="Times New Roman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</w:tr>
    </w:tbl>
    <w:p w14:paraId="07C3019A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</w:pPr>
      <w:r>
        <w:rPr>
          <w:rFonts w:ascii="Arial" w:hAnsi="Arial" w:eastAsia="Times New Roman" w:cs="Arial"/>
          <w:b/>
          <w:bCs/>
          <w:color w:val="000000"/>
          <w:kern w:val="0"/>
          <w:sz w:val="18"/>
          <w:szCs w:val="18"/>
          <w:lang w:eastAsia="ru-RU"/>
          <w14:ligatures w14:val="none"/>
        </w:rPr>
        <w:t>Библиотек</w:t>
      </w:r>
    </w:p>
    <w:p w14:paraId="5F2125D8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</w:pPr>
      <w:r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  <w:t xml:space="preserve">● площадь </w:t>
      </w:r>
      <w:r>
        <w:rPr>
          <w:rFonts w:hint="default" w:ascii="Arial" w:hAnsi="Arial" w:eastAsia="Times New Roman" w:cs="Arial"/>
          <w:color w:val="000000"/>
          <w:kern w:val="0"/>
          <w:sz w:val="18"/>
          <w:szCs w:val="18"/>
          <w:lang w:val="en-US" w:eastAsia="ru-RU"/>
          <w14:ligatures w14:val="none"/>
        </w:rPr>
        <w:t>32,9</w:t>
      </w:r>
      <w:r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  <w:t xml:space="preserve"> кв.м.</w:t>
      </w:r>
    </w:p>
    <w:p w14:paraId="15B5B274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</w:pPr>
      <w:r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  <w:t xml:space="preserve">● книжный фонд - </w:t>
      </w:r>
      <w:r>
        <w:rPr>
          <w:rFonts w:hint="default" w:ascii="Arial" w:hAnsi="Arial" w:eastAsia="Times New Roman" w:cs="Arial"/>
          <w:color w:val="000000"/>
          <w:kern w:val="0"/>
          <w:sz w:val="18"/>
          <w:szCs w:val="18"/>
          <w:lang w:val="en-US" w:eastAsia="ru-RU"/>
          <w14:ligatures w14:val="none"/>
        </w:rPr>
        <w:t>1096</w:t>
      </w:r>
      <w:r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  <w:t>, в том числе:</w:t>
      </w:r>
    </w:p>
    <w:p w14:paraId="768BBD97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</w:pPr>
      <w:r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  <w:t>● учебный –</w:t>
      </w:r>
      <w:r>
        <w:rPr>
          <w:rFonts w:hint="default" w:ascii="Arial" w:hAnsi="Arial" w:eastAsia="Times New Roman" w:cs="Arial"/>
          <w:color w:val="000000"/>
          <w:kern w:val="0"/>
          <w:sz w:val="18"/>
          <w:szCs w:val="18"/>
          <w:lang w:val="en-US" w:eastAsia="ru-RU"/>
          <w14:ligatures w14:val="none"/>
        </w:rPr>
        <w:t xml:space="preserve"> 522</w:t>
      </w:r>
      <w:r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  <w:t>,</w:t>
      </w:r>
    </w:p>
    <w:p w14:paraId="69F5458F">
      <w:pPr>
        <w:shd w:val="clear" w:color="auto" w:fill="F6F6F6"/>
        <w:spacing w:after="0" w:line="270" w:lineRule="atLeast"/>
        <w:textAlignment w:val="baseline"/>
        <w:rPr>
          <w:rFonts w:hint="default" w:ascii="Arial" w:hAnsi="Arial" w:eastAsia="Times New Roman" w:cs="Arial"/>
          <w:color w:val="000000"/>
          <w:kern w:val="0"/>
          <w:sz w:val="18"/>
          <w:szCs w:val="18"/>
          <w:lang w:val="en-US" w:eastAsia="ru-RU"/>
          <w14:ligatures w14:val="none"/>
        </w:rPr>
      </w:pPr>
      <w:r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  <w:t>● методическая литература – 2</w:t>
      </w:r>
      <w:r>
        <w:rPr>
          <w:rFonts w:hint="default" w:ascii="Arial" w:hAnsi="Arial" w:eastAsia="Times New Roman" w:cs="Arial"/>
          <w:color w:val="000000"/>
          <w:kern w:val="0"/>
          <w:sz w:val="18"/>
          <w:szCs w:val="18"/>
          <w:lang w:val="en-US" w:eastAsia="ru-RU"/>
          <w14:ligatures w14:val="none"/>
        </w:rPr>
        <w:t>6</w:t>
      </w:r>
    </w:p>
    <w:p w14:paraId="017A7AF6">
      <w:pPr>
        <w:shd w:val="clear" w:color="auto" w:fill="F6F6F6"/>
        <w:spacing w:after="0" w:line="270" w:lineRule="atLeast"/>
        <w:textAlignment w:val="baseline"/>
        <w:rPr>
          <w:rFonts w:hint="default" w:ascii="Arial" w:hAnsi="Arial" w:eastAsia="Times New Roman" w:cs="Arial"/>
          <w:color w:val="000000"/>
          <w:kern w:val="0"/>
          <w:sz w:val="18"/>
          <w:szCs w:val="18"/>
          <w:lang w:val="en-US" w:eastAsia="ru-RU"/>
          <w14:ligatures w14:val="none"/>
        </w:rPr>
      </w:pPr>
      <w:r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  <w:t>● художественная литература –</w:t>
      </w:r>
      <w:r>
        <w:rPr>
          <w:rFonts w:hint="default" w:ascii="Arial" w:hAnsi="Arial" w:eastAsia="Times New Roman" w:cs="Arial"/>
          <w:color w:val="000000"/>
          <w:kern w:val="0"/>
          <w:sz w:val="18"/>
          <w:szCs w:val="18"/>
          <w:lang w:val="en-US" w:eastAsia="ru-RU"/>
          <w14:ligatures w14:val="none"/>
        </w:rPr>
        <w:t>548</w:t>
      </w:r>
    </w:p>
    <w:p w14:paraId="52CBD415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</w:pPr>
      <w:r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  <w:t>● электронные книги-</w:t>
      </w:r>
      <w:r>
        <w:rPr>
          <w:rFonts w:hint="default" w:ascii="Arial" w:hAnsi="Arial" w:eastAsia="Times New Roman" w:cs="Arial"/>
          <w:color w:val="000000"/>
          <w:kern w:val="0"/>
          <w:sz w:val="18"/>
          <w:szCs w:val="18"/>
          <w:lang w:val="en-US" w:eastAsia="ru-RU"/>
          <w14:ligatures w14:val="none"/>
        </w:rPr>
        <w:t xml:space="preserve">   1 0 </w:t>
      </w:r>
      <w:r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  <w:t>экз.</w:t>
      </w:r>
    </w:p>
    <w:p w14:paraId="7094039E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</w:pPr>
      <w:r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  <w:t> </w:t>
      </w:r>
    </w:p>
    <w:p w14:paraId="795BAF78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</w:pPr>
      <w:r>
        <w:rPr>
          <w:rFonts w:ascii="Arial" w:hAnsi="Arial" w:eastAsia="Times New Roman" w:cs="Arial"/>
          <w:b/>
          <w:bCs/>
          <w:color w:val="000000"/>
          <w:kern w:val="0"/>
          <w:sz w:val="18"/>
          <w:szCs w:val="18"/>
          <w:lang w:eastAsia="ru-RU"/>
          <w14:ligatures w14:val="none"/>
        </w:rPr>
        <w:t>Столовая -</w:t>
      </w:r>
      <w:r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  <w:t> </w:t>
      </w:r>
      <w:r>
        <w:rPr>
          <w:rFonts w:hint="default" w:ascii="Arial" w:hAnsi="Arial" w:eastAsia="Times New Roman" w:cs="Arial"/>
          <w:color w:val="000000"/>
          <w:kern w:val="0"/>
          <w:sz w:val="18"/>
          <w:szCs w:val="18"/>
          <w:lang w:val="en-US" w:eastAsia="ru-RU"/>
          <w14:ligatures w14:val="none"/>
        </w:rPr>
        <w:t>49,5</w:t>
      </w:r>
      <w:bookmarkStart w:id="0" w:name="_GoBack"/>
      <w:bookmarkEnd w:id="0"/>
      <w:r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  <w:t xml:space="preserve"> кв.м., число посадочных мест – 30;</w:t>
      </w:r>
    </w:p>
    <w:p w14:paraId="4D677E29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</w:pPr>
      <w:r>
        <w:rPr>
          <w:rFonts w:ascii="Arial" w:hAnsi="Arial" w:eastAsia="Times New Roman" w:cs="Arial"/>
          <w:b/>
          <w:bCs/>
          <w:color w:val="000000"/>
          <w:kern w:val="0"/>
          <w:sz w:val="18"/>
          <w:szCs w:val="18"/>
          <w:lang w:eastAsia="ru-RU"/>
          <w14:ligatures w14:val="none"/>
        </w:rPr>
        <w:t>Сеть и сетевое оборудование:</w:t>
      </w:r>
    </w:p>
    <w:p w14:paraId="165FD692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</w:pPr>
      <w:r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  <w:t>● тип сети – локальная сеть, WI-FI</w:t>
      </w:r>
    </w:p>
    <w:p w14:paraId="75B75330">
      <w:pPr>
        <w:shd w:val="clear" w:color="auto" w:fill="F6F6F6"/>
        <w:spacing w:after="0" w:line="270" w:lineRule="atLeast"/>
        <w:textAlignment w:val="baseline"/>
        <w:rPr>
          <w:rFonts w:hint="default" w:ascii="Arial" w:hAnsi="Arial" w:eastAsia="Times New Roman" w:cs="Arial"/>
          <w:color w:val="000000"/>
          <w:kern w:val="0"/>
          <w:sz w:val="18"/>
          <w:szCs w:val="18"/>
          <w:lang w:val="en-US" w:eastAsia="ru-RU"/>
          <w14:ligatures w14:val="none"/>
        </w:rPr>
      </w:pPr>
      <w:r>
        <w:rPr>
          <w:rFonts w:ascii="Arial" w:hAnsi="Arial" w:eastAsia="Times New Roman" w:cs="Arial"/>
          <w:color w:val="000000"/>
          <w:kern w:val="0"/>
          <w:sz w:val="18"/>
          <w:szCs w:val="18"/>
          <w:lang w:eastAsia="ru-RU"/>
          <w14:ligatures w14:val="none"/>
        </w:rPr>
        <w:t>● операционная сеть  Windows </w:t>
      </w:r>
      <w:r>
        <w:rPr>
          <w:rFonts w:hint="default" w:ascii="Arial" w:hAnsi="Arial" w:eastAsia="Times New Roman" w:cs="Arial"/>
          <w:color w:val="000000"/>
          <w:kern w:val="0"/>
          <w:sz w:val="18"/>
          <w:szCs w:val="18"/>
          <w:lang w:val="en-US" w:eastAsia="ru-RU"/>
          <w14:ligatures w14:val="none"/>
        </w:rPr>
        <w:t>10</w:t>
      </w:r>
    </w:p>
    <w:p w14:paraId="71D1645F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1F3"/>
    <w:rsid w:val="004C41F3"/>
    <w:rsid w:val="00CC5E5C"/>
    <w:rsid w:val="0D096EEC"/>
    <w:rsid w:val="6C55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5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Заголовок 5 Знак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8 Знак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Знак"/>
    <w:basedOn w:val="11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одзаголовок Знак"/>
    <w:basedOn w:val="11"/>
    <w:link w:val="14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Цитата 2 Знак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Выделенная цитата Знак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603</Characters>
  <Lines>5</Lines>
  <Paragraphs>1</Paragraphs>
  <TotalTime>102</TotalTime>
  <ScaleCrop>false</ScaleCrop>
  <LinksUpToDate>false</LinksUpToDate>
  <CharactersWithSpaces>707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2025-11-27T15:51:00Z</dcterms:created>
  <dc:creator>Rinat</dc:creator>
  <cp:lastModifiedBy>Гульфия</cp:lastModifiedBy>
  <dcterms:modified xsi:type="dcterms:W3CDTF">2025-12-01T10:12:28Z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1A24DA0E4BDB46EC99302A325E24C978_12</vt:lpwstr>
  </property>
</Properties>
</file>